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87" w:rsidRPr="008175A2" w:rsidRDefault="008175A2" w:rsidP="006E637A">
      <w:pPr>
        <w:jc w:val="center"/>
        <w:rPr>
          <w:rFonts w:ascii="標楷體" w:eastAsia="標楷體" w:hAnsi="標楷體"/>
          <w:sz w:val="32"/>
          <w:szCs w:val="32"/>
        </w:rPr>
      </w:pPr>
      <w:r w:rsidRPr="008175A2">
        <w:rPr>
          <w:rFonts w:ascii="標楷體" w:eastAsia="標楷體" w:hAnsi="標楷體" w:hint="eastAsia"/>
          <w:sz w:val="32"/>
          <w:szCs w:val="32"/>
        </w:rPr>
        <w:t>衛生福利部</w:t>
      </w:r>
      <w:r w:rsidR="006A6C96" w:rsidRPr="008175A2">
        <w:rPr>
          <w:rFonts w:ascii="標楷體" w:eastAsia="標楷體" w:hAnsi="標楷體" w:hint="eastAsia"/>
          <w:sz w:val="32"/>
          <w:szCs w:val="32"/>
        </w:rPr>
        <w:t>雲林教養院</w:t>
      </w:r>
      <w:r w:rsidR="0089320E">
        <w:rPr>
          <w:rFonts w:ascii="標楷體" w:eastAsia="標楷體" w:hAnsi="標楷體" w:hint="eastAsia"/>
          <w:sz w:val="32"/>
          <w:szCs w:val="32"/>
        </w:rPr>
        <w:t>身障機構</w:t>
      </w:r>
      <w:r w:rsidR="00C53DB5" w:rsidRPr="008175A2">
        <w:rPr>
          <w:rFonts w:ascii="標楷體" w:eastAsia="標楷體" w:hAnsi="標楷體" w:hint="eastAsia"/>
          <w:sz w:val="32"/>
          <w:szCs w:val="32"/>
        </w:rPr>
        <w:t>標竿學習心得報告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7"/>
        <w:gridCol w:w="3876"/>
        <w:gridCol w:w="3309"/>
      </w:tblGrid>
      <w:tr w:rsidR="006A6C96" w:rsidRPr="008175A2" w:rsidTr="00AD67F1">
        <w:trPr>
          <w:trHeight w:val="270"/>
        </w:trPr>
        <w:tc>
          <w:tcPr>
            <w:tcW w:w="1526" w:type="dxa"/>
          </w:tcPr>
          <w:p w:rsidR="006A6C96" w:rsidRPr="008175A2" w:rsidRDefault="006A6C9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5A2">
              <w:rPr>
                <w:rFonts w:ascii="標楷體" w:eastAsia="標楷體" w:hAnsi="標楷體" w:hint="eastAsia"/>
                <w:sz w:val="28"/>
                <w:szCs w:val="28"/>
              </w:rPr>
              <w:t>參訪地點</w:t>
            </w:r>
          </w:p>
        </w:tc>
        <w:tc>
          <w:tcPr>
            <w:tcW w:w="6996" w:type="dxa"/>
            <w:gridSpan w:val="2"/>
          </w:tcPr>
          <w:p w:rsidR="006A6C96" w:rsidRPr="008175A2" w:rsidRDefault="00F41D6D" w:rsidP="00914D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41D6D">
              <w:rPr>
                <w:rFonts w:ascii="標楷體" w:eastAsia="標楷體" w:hAnsi="標楷體" w:hint="eastAsia"/>
                <w:sz w:val="28"/>
                <w:szCs w:val="28"/>
              </w:rPr>
              <w:t>高雄市政府社會局無障礙之家</w:t>
            </w:r>
          </w:p>
        </w:tc>
      </w:tr>
      <w:tr w:rsidR="004B0BDD" w:rsidRPr="008175A2" w:rsidTr="00AD67F1">
        <w:trPr>
          <w:trHeight w:val="236"/>
        </w:trPr>
        <w:tc>
          <w:tcPr>
            <w:tcW w:w="1526" w:type="dxa"/>
          </w:tcPr>
          <w:p w:rsidR="004B0BDD" w:rsidRPr="008175A2" w:rsidRDefault="004B0BDD" w:rsidP="00913D1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參訪日期</w:t>
            </w:r>
          </w:p>
        </w:tc>
        <w:tc>
          <w:tcPr>
            <w:tcW w:w="6996" w:type="dxa"/>
            <w:gridSpan w:val="2"/>
          </w:tcPr>
          <w:p w:rsidR="004B0BDD" w:rsidRPr="00F41D6D" w:rsidRDefault="004B0BDD" w:rsidP="00913D1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109年7月29日</w:t>
            </w:r>
          </w:p>
        </w:tc>
      </w:tr>
      <w:tr w:rsidR="004B0BDD" w:rsidRPr="008175A2" w:rsidTr="00AD67F1">
        <w:tc>
          <w:tcPr>
            <w:tcW w:w="1526" w:type="dxa"/>
          </w:tcPr>
          <w:p w:rsidR="004B0BDD" w:rsidRPr="008175A2" w:rsidRDefault="004B0BDD" w:rsidP="00913D1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5A2">
              <w:rPr>
                <w:rFonts w:ascii="標楷體" w:eastAsia="標楷體" w:hAnsi="標楷體" w:hint="eastAsia"/>
                <w:sz w:val="28"/>
                <w:szCs w:val="28"/>
              </w:rPr>
              <w:t>參訪內容</w:t>
            </w:r>
          </w:p>
        </w:tc>
        <w:tc>
          <w:tcPr>
            <w:tcW w:w="6996" w:type="dxa"/>
            <w:gridSpan w:val="2"/>
          </w:tcPr>
          <w:p w:rsidR="004B0BDD" w:rsidRPr="008175A2" w:rsidRDefault="004B0BDD" w:rsidP="00913D1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F41D6D">
              <w:rPr>
                <w:rFonts w:ascii="標楷體" w:eastAsia="標楷體" w:hAnsi="標楷體" w:hint="eastAsia"/>
                <w:sz w:val="28"/>
                <w:szCs w:val="28"/>
              </w:rPr>
              <w:t>106</w:t>
            </w:r>
            <w:proofErr w:type="gramEnd"/>
            <w:r w:rsidRPr="00F41D6D">
              <w:rPr>
                <w:rFonts w:ascii="標楷體" w:eastAsia="標楷體" w:hAnsi="標楷體" w:hint="eastAsia"/>
                <w:sz w:val="28"/>
                <w:szCs w:val="28"/>
              </w:rPr>
              <w:t>年度全國身心障礙福利機構評鑑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榮獲</w:t>
            </w:r>
            <w:r w:rsidRPr="00F41D6D"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機構</w:t>
            </w:r>
          </w:p>
        </w:tc>
      </w:tr>
      <w:tr w:rsidR="004025D1" w:rsidRPr="008175A2" w:rsidTr="00AD67F1">
        <w:trPr>
          <w:trHeight w:val="343"/>
        </w:trPr>
        <w:tc>
          <w:tcPr>
            <w:tcW w:w="1526" w:type="dxa"/>
          </w:tcPr>
          <w:p w:rsidR="004025D1" w:rsidRPr="008175A2" w:rsidRDefault="004025D1" w:rsidP="00913D1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報告</w:t>
            </w:r>
            <w:r w:rsidRPr="008175A2">
              <w:rPr>
                <w:rFonts w:ascii="標楷體" w:eastAsia="標楷體" w:hAnsi="標楷體" w:hint="eastAsia"/>
                <w:sz w:val="28"/>
                <w:szCs w:val="28"/>
              </w:rPr>
              <w:t>科室</w:t>
            </w:r>
          </w:p>
        </w:tc>
        <w:tc>
          <w:tcPr>
            <w:tcW w:w="6996" w:type="dxa"/>
            <w:gridSpan w:val="2"/>
          </w:tcPr>
          <w:p w:rsidR="004025D1" w:rsidRPr="00F41D6D" w:rsidRDefault="004025D1" w:rsidP="00913D1C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教保科</w:t>
            </w:r>
            <w:proofErr w:type="gramEnd"/>
          </w:p>
        </w:tc>
      </w:tr>
      <w:tr w:rsidR="004025D1" w:rsidRPr="008175A2" w:rsidTr="00BD7E29">
        <w:trPr>
          <w:trHeight w:val="594"/>
        </w:trPr>
        <w:tc>
          <w:tcPr>
            <w:tcW w:w="1526" w:type="dxa"/>
          </w:tcPr>
          <w:p w:rsidR="004025D1" w:rsidRPr="008175A2" w:rsidRDefault="004025D1" w:rsidP="004025D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175A2">
              <w:rPr>
                <w:rFonts w:ascii="標楷體" w:eastAsia="標楷體" w:hAnsi="標楷體" w:hint="eastAsia"/>
                <w:sz w:val="28"/>
                <w:szCs w:val="28"/>
              </w:rPr>
              <w:t>報告者</w:t>
            </w:r>
          </w:p>
        </w:tc>
        <w:tc>
          <w:tcPr>
            <w:tcW w:w="6996" w:type="dxa"/>
            <w:gridSpan w:val="2"/>
          </w:tcPr>
          <w:p w:rsidR="002E621A" w:rsidRPr="008175A2" w:rsidRDefault="00BD7E29" w:rsidP="00880F6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教保科</w:t>
            </w:r>
            <w:r w:rsidR="00880F6B">
              <w:rPr>
                <w:rFonts w:ascii="標楷體" w:eastAsia="標楷體" w:hAnsi="標楷體" w:hint="eastAsia"/>
                <w:sz w:val="28"/>
                <w:szCs w:val="28"/>
              </w:rPr>
              <w:t>謝朝宗彙整</w:t>
            </w:r>
            <w:bookmarkStart w:id="0" w:name="_GoBack"/>
            <w:bookmarkEnd w:id="0"/>
          </w:p>
        </w:tc>
      </w:tr>
      <w:tr w:rsidR="006A6C96" w:rsidRPr="008175A2" w:rsidTr="00AD67F1">
        <w:tc>
          <w:tcPr>
            <w:tcW w:w="1526" w:type="dxa"/>
          </w:tcPr>
          <w:p w:rsidR="006A6C96" w:rsidRPr="008175A2" w:rsidRDefault="005E68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5A2">
              <w:rPr>
                <w:rFonts w:ascii="標楷體" w:eastAsia="標楷體" w:hAnsi="標楷體" w:hint="eastAsia"/>
                <w:sz w:val="28"/>
                <w:szCs w:val="28"/>
              </w:rPr>
              <w:t>參訪學習重點</w:t>
            </w:r>
          </w:p>
        </w:tc>
        <w:tc>
          <w:tcPr>
            <w:tcW w:w="6996" w:type="dxa"/>
            <w:gridSpan w:val="2"/>
          </w:tcPr>
          <w:p w:rsidR="002E621A" w:rsidRDefault="00CF4D54" w:rsidP="00A77A7C">
            <w:pPr>
              <w:pStyle w:val="a8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025D1">
              <w:rPr>
                <w:rFonts w:ascii="標楷體" w:eastAsia="標楷體" w:hAnsi="標楷體" w:hint="eastAsia"/>
                <w:sz w:val="28"/>
                <w:szCs w:val="28"/>
              </w:rPr>
              <w:t>因應本院即將增設日照專區，觀摩</w:t>
            </w:r>
            <w:r w:rsidR="00EE6B16" w:rsidRPr="004025D1">
              <w:rPr>
                <w:rFonts w:ascii="標楷體" w:eastAsia="標楷體" w:hAnsi="標楷體" w:hint="eastAsia"/>
                <w:sz w:val="28"/>
                <w:szCs w:val="28"/>
              </w:rPr>
              <w:t>如何善用機構空間，營造兼顧社區日間資源使用者與長期住宿</w:t>
            </w:r>
            <w:r w:rsidR="009A4234" w:rsidRPr="004025D1">
              <w:rPr>
                <w:rFonts w:ascii="標楷體" w:eastAsia="標楷體" w:hAnsi="標楷體" w:hint="eastAsia"/>
                <w:sz w:val="28"/>
                <w:szCs w:val="28"/>
              </w:rPr>
              <w:t>民眾需求的空間配置</w:t>
            </w:r>
            <w:r w:rsidR="002E621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45272C" w:rsidRDefault="0045272C" w:rsidP="00A77A7C">
            <w:pPr>
              <w:pStyle w:val="a8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</w:t>
            </w:r>
            <w:r w:rsidR="002E621A">
              <w:rPr>
                <w:rFonts w:ascii="標楷體" w:eastAsia="標楷體" w:hAnsi="標楷體" w:hint="eastAsia"/>
                <w:sz w:val="28"/>
                <w:szCs w:val="28"/>
              </w:rPr>
              <w:t>無障礙設施及</w:t>
            </w:r>
            <w:r w:rsidRPr="004025D1">
              <w:rPr>
                <w:rFonts w:ascii="標楷體" w:eastAsia="標楷體" w:hAnsi="標楷體" w:hint="eastAsia"/>
                <w:sz w:val="28"/>
                <w:szCs w:val="28"/>
              </w:rPr>
              <w:t>讓不同類型的服務對象互不干擾又友善互動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的環境設計。</w:t>
            </w:r>
          </w:p>
          <w:p w:rsidR="002E621A" w:rsidRPr="002E621A" w:rsidRDefault="004025D1" w:rsidP="00BC44CD">
            <w:pPr>
              <w:pStyle w:val="a8"/>
              <w:numPr>
                <w:ilvl w:val="0"/>
                <w:numId w:val="2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A77A7C">
              <w:rPr>
                <w:rFonts w:ascii="標楷體" w:eastAsia="標楷體" w:hAnsi="標楷體" w:hint="eastAsia"/>
                <w:sz w:val="28"/>
                <w:szCs w:val="28"/>
              </w:rPr>
              <w:t>學習機構間不同的運作模式</w:t>
            </w:r>
            <w:r w:rsidR="0045272C" w:rsidRPr="00A77A7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2E621A" w:rsidRPr="002E621A">
              <w:rPr>
                <w:rFonts w:ascii="標楷體" w:eastAsia="標楷體" w:hAnsi="標楷體" w:hint="eastAsia"/>
                <w:sz w:val="28"/>
                <w:szCs w:val="28"/>
              </w:rPr>
              <w:t>服務方式及照顧項目值得借鏡之</w:t>
            </w:r>
            <w:r w:rsidR="00BC44CD">
              <w:rPr>
                <w:rFonts w:ascii="標楷體" w:eastAsia="標楷體" w:hAnsi="標楷體" w:hint="eastAsia"/>
                <w:sz w:val="28"/>
                <w:szCs w:val="28"/>
              </w:rPr>
              <w:t>處，</w:t>
            </w:r>
            <w:proofErr w:type="gramStart"/>
            <w:r w:rsidR="00BC44CD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  <w:r w:rsidR="002E621A" w:rsidRPr="00A77A7C">
              <w:rPr>
                <w:rFonts w:ascii="標楷體" w:eastAsia="標楷體" w:hAnsi="標楷體" w:hint="eastAsia"/>
                <w:sz w:val="28"/>
                <w:szCs w:val="28"/>
              </w:rPr>
              <w:t>綠能</w:t>
            </w:r>
            <w:proofErr w:type="gramEnd"/>
            <w:r w:rsidR="002E621A" w:rsidRPr="00A77A7C">
              <w:rPr>
                <w:rFonts w:ascii="標楷體" w:eastAsia="標楷體" w:hAnsi="標楷體" w:hint="eastAsia"/>
                <w:sz w:val="28"/>
                <w:szCs w:val="28"/>
              </w:rPr>
              <w:t>屋頂計畫</w:t>
            </w:r>
            <w:r w:rsidR="00BC44C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A6C96" w:rsidRPr="008175A2" w:rsidTr="00AD67F1">
        <w:tc>
          <w:tcPr>
            <w:tcW w:w="1526" w:type="dxa"/>
          </w:tcPr>
          <w:p w:rsidR="006A6C96" w:rsidRPr="008175A2" w:rsidRDefault="005E68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5A2">
              <w:rPr>
                <w:rFonts w:ascii="標楷體" w:eastAsia="標楷體" w:hAnsi="標楷體" w:hint="eastAsia"/>
                <w:sz w:val="28"/>
                <w:szCs w:val="28"/>
              </w:rPr>
              <w:t>參訪機關執行特色與作為</w:t>
            </w:r>
          </w:p>
        </w:tc>
        <w:tc>
          <w:tcPr>
            <w:tcW w:w="6996" w:type="dxa"/>
            <w:gridSpan w:val="2"/>
          </w:tcPr>
          <w:p w:rsidR="002E621A" w:rsidRDefault="002E621A" w:rsidP="00F62D70">
            <w:pPr>
              <w:pStyle w:val="a8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高雄市政府社會局無障礙之家為全國首座兼具身心障礙教養、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日托及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服務功能之綜合身心障礙福利服務機構，輔具申請及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維修均在無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障礙之家裡，一條龍作業模式省去身障者家屬許多作業流程。</w:t>
            </w:r>
          </w:p>
          <w:p w:rsidR="00F62D70" w:rsidRPr="00F62D70" w:rsidRDefault="00F62D70" w:rsidP="00F62D70">
            <w:pPr>
              <w:pStyle w:val="a8"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D1D8B">
              <w:rPr>
                <w:rFonts w:ascii="標楷體" w:eastAsia="標楷體" w:hAnsi="標楷體" w:hint="eastAsia"/>
                <w:sz w:val="28"/>
                <w:szCs w:val="28"/>
              </w:rPr>
              <w:t>一樓進門左側牆有明顯醒目的機關QR-CORD，方便了解機構組織運作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及課程活動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畫進行狀況</w:t>
            </w:r>
            <w:r w:rsidRPr="005D1D8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887605" w:rsidRDefault="00887605" w:rsidP="00F62D70">
            <w:pPr>
              <w:pStyle w:val="a8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025D1">
              <w:rPr>
                <w:rFonts w:ascii="標楷體" w:eastAsia="標楷體" w:hAnsi="標楷體" w:hint="eastAsia"/>
                <w:sz w:val="28"/>
                <w:szCs w:val="28"/>
              </w:rPr>
              <w:t>為改善頂樓排水問題並結合太陽能發電系統，將頂樓改建為空中花園</w:t>
            </w:r>
          </w:p>
          <w:p w:rsidR="00C214B3" w:rsidRDefault="002E621A" w:rsidP="00F62D70">
            <w:pPr>
              <w:pStyle w:val="a8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214B3">
              <w:rPr>
                <w:rFonts w:ascii="標楷體" w:eastAsia="標楷體" w:hAnsi="標楷體" w:hint="eastAsia"/>
                <w:sz w:val="28"/>
                <w:szCs w:val="28"/>
              </w:rPr>
              <w:t>種植蔬菜、香草、觀賞植物等</w:t>
            </w:r>
            <w:r w:rsidR="00887605" w:rsidRPr="004025D1">
              <w:rPr>
                <w:rFonts w:ascii="標楷體" w:eastAsia="標楷體" w:hAnsi="標楷體" w:hint="eastAsia"/>
                <w:sz w:val="28"/>
                <w:szCs w:val="28"/>
              </w:rPr>
              <w:t>，創造城市綠屋頂空間</w:t>
            </w:r>
            <w:r w:rsidRPr="00C214B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87605">
              <w:rPr>
                <w:rFonts w:ascii="標楷體" w:eastAsia="標楷體" w:hAnsi="標楷體" w:hint="eastAsia"/>
                <w:sz w:val="28"/>
                <w:szCs w:val="28"/>
              </w:rPr>
              <w:t>且</w:t>
            </w:r>
            <w:r w:rsidRPr="00C214B3">
              <w:rPr>
                <w:rFonts w:ascii="標楷體" w:eastAsia="標楷體" w:hAnsi="標楷體" w:hint="eastAsia"/>
                <w:sz w:val="28"/>
                <w:szCs w:val="28"/>
              </w:rPr>
              <w:t>供院內服務對象</w:t>
            </w:r>
            <w:r w:rsidR="00887605" w:rsidRPr="004025D1">
              <w:rPr>
                <w:rFonts w:ascii="標楷體" w:eastAsia="標楷體" w:hAnsi="標楷體" w:hint="eastAsia"/>
                <w:sz w:val="28"/>
                <w:szCs w:val="28"/>
              </w:rPr>
              <w:t>日常休憩</w:t>
            </w:r>
            <w:r w:rsidRPr="00C214B3">
              <w:rPr>
                <w:rFonts w:ascii="標楷體" w:eastAsia="標楷體" w:hAnsi="標楷體" w:hint="eastAsia"/>
                <w:sz w:val="28"/>
                <w:szCs w:val="28"/>
              </w:rPr>
              <w:t>及遊賞</w:t>
            </w:r>
            <w:r w:rsidR="00887605" w:rsidRPr="004025D1">
              <w:rPr>
                <w:rFonts w:ascii="標楷體" w:eastAsia="標楷體" w:hAnsi="標楷體" w:hint="eastAsia"/>
                <w:sz w:val="28"/>
                <w:szCs w:val="28"/>
              </w:rPr>
              <w:t>園藝</w:t>
            </w:r>
            <w:r w:rsidR="00887605">
              <w:rPr>
                <w:rFonts w:ascii="標楷體" w:eastAsia="標楷體" w:hAnsi="標楷體" w:hint="eastAsia"/>
                <w:sz w:val="28"/>
                <w:szCs w:val="28"/>
              </w:rPr>
              <w:t>景觀</w:t>
            </w:r>
            <w:r w:rsidRPr="00C214B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C214B3" w:rsidRPr="00C214B3">
              <w:rPr>
                <w:rFonts w:ascii="標楷體" w:eastAsia="標楷體" w:hAnsi="標楷體" w:hint="eastAsia"/>
                <w:sz w:val="28"/>
                <w:szCs w:val="28"/>
              </w:rPr>
              <w:t>陶冶服務對象性情。</w:t>
            </w:r>
          </w:p>
          <w:p w:rsidR="00887605" w:rsidRDefault="00887605" w:rsidP="00F62D70">
            <w:pPr>
              <w:pStyle w:val="a8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依年齡、性別、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日托及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住宿式照顧的差異，劃分不同樓層及區域安置。</w:t>
            </w:r>
          </w:p>
          <w:p w:rsidR="00887605" w:rsidRPr="00887605" w:rsidRDefault="00887605" w:rsidP="00F62D70">
            <w:pPr>
              <w:pStyle w:val="a8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無障礙設施如電梯的點字、語音系統、輪椅使用按鈕、各樓層斜坡道、扶手、防滑地板、階梯等，均針對身心障礙者需求而設置。</w:t>
            </w:r>
          </w:p>
          <w:p w:rsidR="00887605" w:rsidRDefault="00761842" w:rsidP="00F62D70">
            <w:pPr>
              <w:pStyle w:val="a8"/>
              <w:numPr>
                <w:ilvl w:val="0"/>
                <w:numId w:val="10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87605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安排家事課程，獨立訓練教導</w:t>
            </w:r>
            <w:proofErr w:type="gramStart"/>
            <w:r w:rsidRPr="00887605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簡易廚</w:t>
            </w:r>
            <w:proofErr w:type="gramEnd"/>
            <w:r w:rsidRPr="00887605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藝，頂樓的Q寶農場栽種地瓜葉，分工合作</w:t>
            </w:r>
            <w:proofErr w:type="gramStart"/>
            <w:r w:rsidRPr="00887605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採</w:t>
            </w:r>
            <w:proofErr w:type="gramEnd"/>
            <w:r w:rsidRPr="00887605">
              <w:rPr>
                <w:rFonts w:ascii="標楷體" w:eastAsia="標楷體" w:hAnsi="標楷體" w:cs="Arial" w:hint="eastAsia"/>
                <w:bCs/>
                <w:kern w:val="0"/>
                <w:sz w:val="28"/>
                <w:szCs w:val="28"/>
              </w:rPr>
              <w:t>收地瓜葉，再由服務對象一起享用自給自足。</w:t>
            </w:r>
            <w:r w:rsidR="00887605" w:rsidRPr="00887605">
              <w:rPr>
                <w:rFonts w:ascii="標楷體" w:eastAsia="標楷體" w:hAnsi="標楷體" w:hint="eastAsia"/>
                <w:sz w:val="28"/>
                <w:szCs w:val="28"/>
              </w:rPr>
              <w:t>蔬菜及香草的採摘、</w:t>
            </w:r>
            <w:proofErr w:type="gramStart"/>
            <w:r w:rsidR="00887605" w:rsidRPr="00887605">
              <w:rPr>
                <w:rFonts w:ascii="標楷體" w:eastAsia="標楷體" w:hAnsi="標楷體" w:hint="eastAsia"/>
                <w:sz w:val="28"/>
                <w:szCs w:val="28"/>
              </w:rPr>
              <w:t>擇葉</w:t>
            </w:r>
            <w:proofErr w:type="gramEnd"/>
            <w:r w:rsidR="00887605" w:rsidRPr="00887605">
              <w:rPr>
                <w:rFonts w:ascii="標楷體" w:eastAsia="標楷體" w:hAnsi="標楷體" w:hint="eastAsia"/>
                <w:sz w:val="28"/>
                <w:szCs w:val="28"/>
              </w:rPr>
              <w:t>、清洗、烹煮或沖泡，可提供服務對象休閒及進行手部操作動作等活動。</w:t>
            </w:r>
          </w:p>
          <w:p w:rsidR="00F62D70" w:rsidRDefault="00F62D70" w:rsidP="00F62D70">
            <w:pPr>
              <w:pStyle w:val="a8"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舉辦教具製作比賽，鼓勵同仁發揮創意設計教材教具。重視課程實用性，讓服務練習沖泡咖啡及花草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茶給參訪人員品嚐。</w:t>
            </w:r>
          </w:p>
          <w:p w:rsidR="004025D1" w:rsidRPr="00F62D70" w:rsidRDefault="00F62D70" w:rsidP="00F62D70">
            <w:pPr>
              <w:pStyle w:val="a8"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F62D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目前籌建</w:t>
            </w:r>
            <w:proofErr w:type="gramStart"/>
            <w:r w:rsidR="00A564D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中的北院</w:t>
            </w:r>
            <w:r w:rsidRPr="00F62D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已</w:t>
            </w:r>
            <w:proofErr w:type="gramEnd"/>
            <w:r w:rsidRPr="00F62D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先跟伊</w:t>
            </w:r>
            <w:proofErr w:type="gramStart"/>
            <w:r w:rsidRPr="00F62D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甸</w:t>
            </w:r>
            <w:proofErr w:type="gramEnd"/>
            <w:r w:rsidRPr="00F62D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簽定服務委外契約，建物</w:t>
            </w:r>
            <w:r w:rsidR="00A564D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及設施興建均邀請伊</w:t>
            </w:r>
            <w:proofErr w:type="gramStart"/>
            <w:r w:rsidR="00A564D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甸</w:t>
            </w:r>
            <w:proofErr w:type="gramEnd"/>
            <w:r w:rsidR="00A564D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共同參與，使將來的設施設備能符合受委託機構</w:t>
            </w:r>
            <w:r w:rsidRPr="00F62D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需要。</w:t>
            </w:r>
            <w:r w:rsidR="00A564D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機構內</w:t>
            </w:r>
            <w:r w:rsidR="004025D1" w:rsidRPr="00F62D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部分資源能與社區做連結</w:t>
            </w:r>
            <w:r w:rsidR="00A564D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</w:t>
            </w:r>
            <w:r w:rsidR="004025D1" w:rsidRPr="00F62D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活動中心租借。</w:t>
            </w:r>
          </w:p>
          <w:p w:rsidR="00110AF4" w:rsidRPr="00A564D5" w:rsidRDefault="00110AF4" w:rsidP="00F62D70">
            <w:pPr>
              <w:pStyle w:val="a8"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牙科門診除了服務院內服務對象，也提供社區身心障礙者進行牙齒保健服務，使服務提供的可近性、便利性提高。</w:t>
            </w:r>
          </w:p>
        </w:tc>
      </w:tr>
      <w:tr w:rsidR="006A6C96" w:rsidRPr="008175A2" w:rsidTr="00AD67F1">
        <w:tc>
          <w:tcPr>
            <w:tcW w:w="1526" w:type="dxa"/>
          </w:tcPr>
          <w:p w:rsidR="006A6C96" w:rsidRPr="008175A2" w:rsidRDefault="005E68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5A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參訪後提供本院建議</w:t>
            </w:r>
          </w:p>
        </w:tc>
        <w:tc>
          <w:tcPr>
            <w:tcW w:w="6996" w:type="dxa"/>
            <w:gridSpan w:val="2"/>
          </w:tcPr>
          <w:p w:rsidR="006A6C96" w:rsidRPr="004025D1" w:rsidRDefault="00534C35" w:rsidP="00DD335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4025D1">
              <w:rPr>
                <w:rFonts w:ascii="標楷體" w:eastAsia="標楷體" w:hAnsi="標楷體" w:hint="eastAsia"/>
                <w:sz w:val="28"/>
                <w:szCs w:val="28"/>
              </w:rPr>
              <w:t>非</w:t>
            </w:r>
            <w:proofErr w:type="gramStart"/>
            <w:r w:rsidRPr="004025D1">
              <w:rPr>
                <w:rFonts w:ascii="標楷體" w:eastAsia="標楷體" w:hAnsi="標楷體" w:hint="eastAsia"/>
                <w:sz w:val="28"/>
                <w:szCs w:val="28"/>
              </w:rPr>
              <w:t>疫</w:t>
            </w:r>
            <w:proofErr w:type="gramEnd"/>
            <w:r w:rsidRPr="004025D1">
              <w:rPr>
                <w:rFonts w:ascii="標楷體" w:eastAsia="標楷體" w:hAnsi="標楷體" w:hint="eastAsia"/>
                <w:sz w:val="28"/>
                <w:szCs w:val="28"/>
              </w:rPr>
              <w:t>情期間</w:t>
            </w:r>
            <w:proofErr w:type="gramStart"/>
            <w:r w:rsidRPr="004025D1">
              <w:rPr>
                <w:rFonts w:ascii="標楷體" w:eastAsia="標楷體" w:hAnsi="標楷體" w:hint="eastAsia"/>
                <w:sz w:val="28"/>
                <w:szCs w:val="28"/>
              </w:rPr>
              <w:t>廣招志工</w:t>
            </w:r>
            <w:proofErr w:type="gramEnd"/>
            <w:r w:rsidRPr="004025D1">
              <w:rPr>
                <w:rFonts w:ascii="標楷體" w:eastAsia="標楷體" w:hAnsi="標楷體" w:hint="eastAsia"/>
                <w:sz w:val="28"/>
                <w:szCs w:val="28"/>
              </w:rPr>
              <w:t>人員，於日常生活中協助服務對象簡易事務，例如院區散步</w:t>
            </w:r>
            <w:r w:rsidR="006917A9" w:rsidRPr="004025D1">
              <w:rPr>
                <w:rFonts w:ascii="標楷體" w:eastAsia="標楷體" w:hAnsi="標楷體" w:hint="eastAsia"/>
                <w:sz w:val="28"/>
                <w:szCs w:val="28"/>
              </w:rPr>
              <w:t>、復健及體適能活動輔助等，增進服務對象人際互動，亦強健</w:t>
            </w:r>
            <w:proofErr w:type="gramStart"/>
            <w:r w:rsidR="006917A9" w:rsidRPr="004025D1">
              <w:rPr>
                <w:rFonts w:ascii="標楷體" w:eastAsia="標楷體" w:hAnsi="標楷體" w:hint="eastAsia"/>
                <w:sz w:val="28"/>
                <w:szCs w:val="28"/>
              </w:rPr>
              <w:t>骨質肌群</w:t>
            </w:r>
            <w:proofErr w:type="gramEnd"/>
            <w:r w:rsidR="006917A9" w:rsidRPr="004025D1">
              <w:rPr>
                <w:rFonts w:ascii="標楷體" w:eastAsia="標楷體" w:hAnsi="標楷體" w:hint="eastAsia"/>
                <w:sz w:val="28"/>
                <w:szCs w:val="28"/>
              </w:rPr>
              <w:t>，延緩老化。</w:t>
            </w:r>
          </w:p>
          <w:p w:rsidR="004025D1" w:rsidRPr="000A0A55" w:rsidRDefault="004025D1" w:rsidP="00DD335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0A0A55">
              <w:rPr>
                <w:rFonts w:ascii="標楷體" w:eastAsia="標楷體" w:hAnsi="標楷體" w:hint="eastAsia"/>
                <w:sz w:val="28"/>
                <w:szCs w:val="28"/>
              </w:rPr>
              <w:t>可彩繪斜坡道(地面或牆面</w:t>
            </w:r>
            <w:r w:rsidR="000A0A55" w:rsidRPr="000A0A55">
              <w:rPr>
                <w:rFonts w:ascii="標楷體" w:eastAsia="標楷體" w:hAnsi="標楷體" w:hint="eastAsia"/>
                <w:sz w:val="28"/>
                <w:szCs w:val="28"/>
              </w:rPr>
              <w:t>)，另</w:t>
            </w:r>
            <w:r w:rsidRPr="000A0A55">
              <w:rPr>
                <w:rFonts w:ascii="標楷體" w:eastAsia="標楷體" w:hAnsi="標楷體" w:hint="eastAsia"/>
                <w:sz w:val="28"/>
                <w:szCs w:val="28"/>
              </w:rPr>
              <w:t>地面或牆面</w:t>
            </w:r>
            <w:proofErr w:type="gramStart"/>
            <w:r w:rsidRPr="000A0A55">
              <w:rPr>
                <w:rFonts w:ascii="標楷體" w:eastAsia="標楷體" w:hAnsi="標楷體" w:hint="eastAsia"/>
                <w:sz w:val="28"/>
                <w:szCs w:val="28"/>
              </w:rPr>
              <w:t>可貼夜光</w:t>
            </w:r>
            <w:proofErr w:type="gramEnd"/>
            <w:r w:rsidRPr="000A0A55">
              <w:rPr>
                <w:rFonts w:ascii="標楷體" w:eastAsia="標楷體" w:hAnsi="標楷體" w:hint="eastAsia"/>
                <w:sz w:val="28"/>
                <w:szCs w:val="28"/>
              </w:rPr>
              <w:t>指示(如火災逃生方向箭頭</w:t>
            </w:r>
            <w:r w:rsidR="00774DE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0A0A5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761842" w:rsidRDefault="00761842" w:rsidP="00DD335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6D3C80">
              <w:rPr>
                <w:rFonts w:ascii="標楷體" w:eastAsia="標楷體" w:hAnsi="標楷體" w:hint="eastAsia"/>
                <w:sz w:val="28"/>
                <w:szCs w:val="28"/>
              </w:rPr>
              <w:t>住宿空間隔間拉門設計，使空間利用更具彈性。</w:t>
            </w:r>
          </w:p>
          <w:p w:rsidR="005079BB" w:rsidRPr="00DD3353" w:rsidRDefault="005079BB" w:rsidP="00DD335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87605">
              <w:rPr>
                <w:rFonts w:ascii="標楷體" w:eastAsia="標楷體" w:hAnsi="標楷體" w:hint="eastAsia"/>
                <w:sz w:val="28"/>
                <w:szCs w:val="28"/>
              </w:rPr>
              <w:t>善用住民</w:t>
            </w:r>
            <w:proofErr w:type="gramEnd"/>
            <w:r w:rsidRPr="00887605">
              <w:rPr>
                <w:rFonts w:ascii="標楷體" w:eastAsia="標楷體" w:hAnsi="標楷體" w:hint="eastAsia"/>
                <w:sz w:val="28"/>
                <w:szCs w:val="28"/>
              </w:rPr>
              <w:t>之作品或畫作</w:t>
            </w:r>
            <w:r w:rsidRPr="005079BB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設計製作服務對象小作品</w:t>
            </w:r>
            <w:r w:rsidRPr="00887605">
              <w:rPr>
                <w:rFonts w:ascii="標楷體" w:eastAsia="標楷體" w:hAnsi="標楷體" w:hint="eastAsia"/>
                <w:sz w:val="28"/>
                <w:szCs w:val="28"/>
              </w:rPr>
              <w:t>或宣傳物</w:t>
            </w:r>
            <w:r w:rsidRPr="005079BB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，成果展現更別具意義</w:t>
            </w:r>
            <w:r w:rsidRPr="005079BB">
              <w:rPr>
                <w:rFonts w:ascii="新細明體" w:eastAsia="新細明體" w:hAnsi="新細明體" w:cs="Arial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DD3353" w:rsidRPr="00DD3353" w:rsidRDefault="00DD3353" w:rsidP="00DD3353">
            <w:pPr>
              <w:pStyle w:val="a8"/>
              <w:numPr>
                <w:ilvl w:val="0"/>
                <w:numId w:val="11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無障礙之家與輔具中心簽約，在輔具設計上，有一些專屬院內服務對象的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個別化輔具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，設計的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輔具另有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展示區，可供參觀者借鏡。</w:t>
            </w:r>
          </w:p>
          <w:p w:rsidR="00761842" w:rsidRPr="00DD54BA" w:rsidRDefault="00761842" w:rsidP="00DD335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079B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可規劃多功能感官活動空間</w:t>
            </w:r>
            <w:r w:rsidR="005079B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，除</w:t>
            </w:r>
            <w:r w:rsidRPr="005079BB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提供不同感官刺激體驗</w:t>
            </w:r>
            <w:r w:rsidR="00DD54BA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，亦可作為服務對象獨處或情緒轉換空間</w:t>
            </w:r>
            <w:r w:rsidRPr="005079BB">
              <w:rPr>
                <w:rFonts w:ascii="新細明體" w:eastAsia="新細明體" w:hAnsi="新細明體" w:cs="Arial" w:hint="eastAsia"/>
                <w:sz w:val="28"/>
                <w:szCs w:val="28"/>
                <w:shd w:val="clear" w:color="auto" w:fill="FFFFFF"/>
              </w:rPr>
              <w:t>。</w:t>
            </w:r>
          </w:p>
          <w:p w:rsidR="002E621A" w:rsidRDefault="002E621A" w:rsidP="00DD335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D54BA">
              <w:rPr>
                <w:rFonts w:ascii="標楷體" w:eastAsia="標楷體" w:hAnsi="標楷體" w:hint="eastAsia"/>
                <w:sz w:val="28"/>
                <w:szCs w:val="28"/>
              </w:rPr>
              <w:t>復健室每週2日晚間有</w:t>
            </w:r>
            <w:proofErr w:type="gramStart"/>
            <w:r w:rsidRPr="00DD54BA">
              <w:rPr>
                <w:rFonts w:ascii="標楷體" w:eastAsia="標楷體" w:hAnsi="標楷體" w:hint="eastAsia"/>
                <w:sz w:val="28"/>
                <w:szCs w:val="28"/>
              </w:rPr>
              <w:t>復健員留守</w:t>
            </w:r>
            <w:proofErr w:type="gramEnd"/>
            <w:r w:rsidRPr="00DD54BA">
              <w:rPr>
                <w:rFonts w:ascii="標楷體" w:eastAsia="標楷體" w:hAnsi="標楷體" w:hint="eastAsia"/>
                <w:sz w:val="28"/>
                <w:szCs w:val="28"/>
              </w:rPr>
              <w:t>，供附近社區住民預約使用復健設施，或可做為院內的參考，安排一些社區民眾可以參與的活動。</w:t>
            </w:r>
          </w:p>
          <w:p w:rsidR="00DD54BA" w:rsidRPr="00DD3353" w:rsidRDefault="00DD54BA" w:rsidP="00DD335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夜間體適能活動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由專業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治療師指導，從而建立</w:t>
            </w:r>
            <w:r w:rsidR="00CF290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服務對象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良好</w:t>
            </w:r>
            <w:r w:rsidR="00CF290F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且規律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shd w:val="clear" w:color="auto" w:fill="FFFFFF"/>
              </w:rPr>
              <w:t>運動習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慣。</w:t>
            </w:r>
          </w:p>
          <w:p w:rsidR="00DD3353" w:rsidRPr="00DD3353" w:rsidRDefault="00DD3353" w:rsidP="00DD3353">
            <w:pPr>
              <w:pStyle w:val="a8"/>
              <w:numPr>
                <w:ilvl w:val="0"/>
                <w:numId w:val="11"/>
              </w:numPr>
              <w:spacing w:line="3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D33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體適能課程</w:t>
            </w:r>
            <w:proofErr w:type="gramStart"/>
            <w:r w:rsidRPr="00DD33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採</w:t>
            </w:r>
            <w:proofErr w:type="gramEnd"/>
            <w:r w:rsidRPr="00DD335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大教室空間設計，每人在自己的瑜珈墊上進行伸展及拉筋運動，且與同儕拉開適當距離，不干擾其他人運動，又能維持課程運作。</w:t>
            </w:r>
          </w:p>
          <w:p w:rsidR="002E621A" w:rsidRPr="00562687" w:rsidRDefault="00887605" w:rsidP="00DD3353">
            <w:pPr>
              <w:pStyle w:val="a8"/>
              <w:numPr>
                <w:ilvl w:val="0"/>
                <w:numId w:val="11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562687">
              <w:rPr>
                <w:rFonts w:ascii="標楷體" w:eastAsia="標楷體" w:hAnsi="標楷體" w:hint="eastAsia"/>
                <w:sz w:val="28"/>
                <w:szCs w:val="28"/>
              </w:rPr>
              <w:t>透過狗醫師協助住民的復健活動</w:t>
            </w:r>
            <w:r w:rsidR="00562687" w:rsidRPr="0056268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或可供本院參考。</w:t>
            </w:r>
          </w:p>
        </w:tc>
      </w:tr>
      <w:tr w:rsidR="006A6C96" w:rsidRPr="008175A2" w:rsidTr="00AD67F1">
        <w:tc>
          <w:tcPr>
            <w:tcW w:w="1526" w:type="dxa"/>
          </w:tcPr>
          <w:p w:rsidR="006A6C96" w:rsidRPr="008175A2" w:rsidRDefault="005E688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8175A2">
              <w:rPr>
                <w:rFonts w:ascii="標楷體" w:eastAsia="標楷體" w:hAnsi="標楷體" w:hint="eastAsia"/>
                <w:sz w:val="28"/>
                <w:szCs w:val="28"/>
              </w:rPr>
              <w:t>心得感想</w:t>
            </w:r>
          </w:p>
        </w:tc>
        <w:tc>
          <w:tcPr>
            <w:tcW w:w="6996" w:type="dxa"/>
            <w:gridSpan w:val="2"/>
          </w:tcPr>
          <w:p w:rsidR="00DD3353" w:rsidRPr="00DD3353" w:rsidRDefault="001A2008" w:rsidP="00DD335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025D1" w:rsidRPr="00241228">
              <w:rPr>
                <w:rFonts w:ascii="標楷體" w:eastAsia="標楷體" w:hAnsi="標楷體" w:hint="eastAsia"/>
                <w:sz w:val="28"/>
                <w:szCs w:val="28"/>
              </w:rPr>
              <w:t>本次參訪的機</w:t>
            </w:r>
            <w:r w:rsidR="00DD3353">
              <w:rPr>
                <w:rFonts w:ascii="標楷體" w:eastAsia="標楷體" w:hAnsi="標楷體" w:hint="eastAsia"/>
                <w:sz w:val="28"/>
                <w:szCs w:val="28"/>
              </w:rPr>
              <w:t>構坐落於市區內，空間雖不夠寬廣但卻能在有限的空間內規劃得很不錯。無障礙之家的一樓</w:t>
            </w:r>
            <w:r w:rsidR="00DD3353" w:rsidRPr="00DD3353">
              <w:rPr>
                <w:rFonts w:ascii="標楷體" w:eastAsia="標楷體" w:hAnsi="標楷體" w:hint="eastAsia"/>
                <w:sz w:val="28"/>
                <w:szCs w:val="28"/>
              </w:rPr>
              <w:t>面向鄰近社區公園處，另開一處出入口，於日間開放，讓附近大樓的民眾，能自由進出機構一樓參觀及閱讀書報等，拉近社區與機構的距離。</w:t>
            </w:r>
          </w:p>
          <w:p w:rsidR="004025D1" w:rsidRDefault="00DD3353" w:rsidP="00241228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參訪時在</w:t>
            </w:r>
            <w:r w:rsidR="004025D1" w:rsidRPr="00241228">
              <w:rPr>
                <w:rFonts w:ascii="標楷體" w:eastAsia="標楷體" w:hAnsi="標楷體" w:hint="eastAsia"/>
                <w:sz w:val="28"/>
                <w:szCs w:val="28"/>
              </w:rPr>
              <w:t>機構內看到不同的軟硬體設備，如體適能室內的器材較多樣化，另也透過狗醫師來協助住民復建，以提高對復健的興趣，再者頂樓的空中花園更是讓住民有一處綠地，轉換不同的活動空間，空中花園內所栽植的蔬菜及香草植物，除了綠化外更可讓住民親手摘取產物及品</w:t>
            </w:r>
            <w:r w:rsidR="004025D1" w:rsidRPr="0024122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嚐，享受種植及</w:t>
            </w:r>
            <w:proofErr w:type="gramStart"/>
            <w:r w:rsidR="004025D1" w:rsidRPr="00241228">
              <w:rPr>
                <w:rFonts w:ascii="標楷體" w:eastAsia="標楷體" w:hAnsi="標楷體" w:hint="eastAsia"/>
                <w:sz w:val="28"/>
                <w:szCs w:val="28"/>
              </w:rPr>
              <w:t>採</w:t>
            </w:r>
            <w:proofErr w:type="gramEnd"/>
            <w:r w:rsidR="004025D1" w:rsidRPr="00241228">
              <w:rPr>
                <w:rFonts w:ascii="標楷體" w:eastAsia="標楷體" w:hAnsi="標楷體" w:hint="eastAsia"/>
                <w:sz w:val="28"/>
                <w:szCs w:val="28"/>
              </w:rPr>
              <w:t>收過程的趣味，以增加多元的生活體驗，而彩繪斜坡道也是另一個令人印象深刻之處，色彩鮮明的彩繪圖案，不僅多了視覺感官的刺激，也讓行走時多了些許樂趣，亦可增加住民對所處社區或環境的熟悉度。</w:t>
            </w:r>
          </w:p>
          <w:p w:rsidR="00761842" w:rsidRPr="00F55441" w:rsidRDefault="00DD3353" w:rsidP="00D11209">
            <w:pPr>
              <w:spacing w:line="360" w:lineRule="exact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DD3353">
              <w:rPr>
                <w:rFonts w:ascii="標楷體" w:eastAsia="標楷體" w:hAnsi="標楷體" w:hint="eastAsia"/>
                <w:sz w:val="28"/>
                <w:szCs w:val="28"/>
              </w:rPr>
              <w:t>一個無障礙機構從興建時期飽受社會排斥眼光，到承接社會期待並支持弱勢服務，長路漫漫，卻意義非凡，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其中亦不乏</w:t>
            </w:r>
            <w:r w:rsidR="009764E7" w:rsidRPr="00DD3353">
              <w:rPr>
                <w:rFonts w:ascii="標楷體" w:eastAsia="標楷體" w:hAnsi="標楷體" w:hint="eastAsia"/>
                <w:sz w:val="28"/>
                <w:szCs w:val="28"/>
              </w:rPr>
              <w:t>兼具專業與服務熱誠</w:t>
            </w:r>
            <w:r w:rsidR="009764E7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DD3353">
              <w:rPr>
                <w:rFonts w:ascii="標楷體" w:eastAsia="標楷體" w:hAnsi="標楷體" w:hint="eastAsia"/>
                <w:sz w:val="28"/>
                <w:szCs w:val="28"/>
              </w:rPr>
              <w:t>志工團隊</w:t>
            </w:r>
            <w:r w:rsidR="009764E7">
              <w:rPr>
                <w:rFonts w:ascii="標楷體" w:eastAsia="標楷體" w:hAnsi="標楷體" w:hint="eastAsia"/>
                <w:sz w:val="28"/>
                <w:szCs w:val="28"/>
              </w:rPr>
              <w:t>默默支持</w:t>
            </w:r>
            <w:r w:rsidRPr="00DD335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9764E7">
              <w:rPr>
                <w:rFonts w:ascii="標楷體" w:eastAsia="標楷體" w:hAnsi="標楷體" w:hint="eastAsia"/>
                <w:sz w:val="28"/>
                <w:szCs w:val="28"/>
              </w:rPr>
              <w:t>亦</w:t>
            </w:r>
            <w:r w:rsidRPr="00DD3353">
              <w:rPr>
                <w:rFonts w:ascii="標楷體" w:eastAsia="標楷體" w:hAnsi="標楷體" w:hint="eastAsia"/>
                <w:sz w:val="28"/>
                <w:szCs w:val="28"/>
              </w:rPr>
              <w:t>感佩社福</w:t>
            </w:r>
            <w:proofErr w:type="gramEnd"/>
            <w:r w:rsidRPr="00DD3353">
              <w:rPr>
                <w:rFonts w:ascii="標楷體" w:eastAsia="標楷體" w:hAnsi="標楷體" w:hint="eastAsia"/>
                <w:sz w:val="28"/>
                <w:szCs w:val="28"/>
              </w:rPr>
              <w:t>人員的耕耘與堅持。</w:t>
            </w:r>
            <w:r w:rsidR="00F55441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目前</w:t>
            </w:r>
            <w:r w:rsidR="00D11209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北區新成立無障礙之家於成立前己經預約</w:t>
            </w:r>
            <w:proofErr w:type="gramStart"/>
            <w:r w:rsidR="00D11209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滿床</w:t>
            </w:r>
            <w:r w:rsidR="00F55441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並</w:t>
            </w:r>
            <w:proofErr w:type="gramEnd"/>
            <w:r w:rsidR="00F55441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成立</w:t>
            </w:r>
            <w:r w:rsidR="00761842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嚴重情緒行為專區</w:t>
            </w:r>
            <w:r w:rsidR="00F55441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，相信未來能</w:t>
            </w:r>
            <w:r w:rsidR="00761842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讓</w:t>
            </w:r>
            <w:r w:rsidR="00F55441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有</w:t>
            </w:r>
            <w:r w:rsidR="00761842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身心行為</w:t>
            </w:r>
            <w:r w:rsidR="00F55441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之心智障礙者</w:t>
            </w:r>
            <w:proofErr w:type="gramStart"/>
            <w:r w:rsidR="00761842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者</w:t>
            </w:r>
            <w:proofErr w:type="gramEnd"/>
            <w:r w:rsidR="00761842">
              <w:rPr>
                <w:rFonts w:ascii="標楷體" w:eastAsia="標楷體" w:hAnsi="標楷體" w:cs="Arial" w:hint="eastAsia"/>
                <w:kern w:val="0"/>
                <w:sz w:val="28"/>
                <w:szCs w:val="28"/>
                <w:shd w:val="clear" w:color="auto" w:fill="FFFFFF"/>
              </w:rPr>
              <w:t>能獲得更周全的照顧</w:t>
            </w:r>
            <w:r w:rsidR="00761842">
              <w:rPr>
                <w:rFonts w:ascii="新細明體" w:eastAsia="新細明體" w:hAnsi="新細明體" w:cs="Arial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AD67F1" w:rsidRPr="008175A2" w:rsidTr="00AD67F1">
        <w:trPr>
          <w:trHeight w:val="228"/>
        </w:trPr>
        <w:tc>
          <w:tcPr>
            <w:tcW w:w="1526" w:type="dxa"/>
            <w:vMerge w:val="restart"/>
          </w:tcPr>
          <w:p w:rsidR="00AD67F1" w:rsidRPr="008175A2" w:rsidRDefault="00AD67F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參訪照片</w:t>
            </w:r>
          </w:p>
        </w:tc>
        <w:tc>
          <w:tcPr>
            <w:tcW w:w="3682" w:type="dxa"/>
          </w:tcPr>
          <w:p w:rsidR="00AD67F1" w:rsidRPr="00110AF4" w:rsidRDefault="00AD67F1" w:rsidP="00110AF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kern w:val="0"/>
                <w:sz w:val="28"/>
                <w:szCs w:val="28"/>
              </w:rPr>
              <w:drawing>
                <wp:inline distT="0" distB="0" distL="0" distR="0" wp14:anchorId="2F9D47E0" wp14:editId="3FDB33F7">
                  <wp:extent cx="2318385" cy="1727835"/>
                  <wp:effectExtent l="0" t="0" r="5715" b="5715"/>
                  <wp:docPr id="1" name="圖片 1" descr="C:\Users\user\AppData\Local\Microsoft\Windows\INetCache\Content.Word\11869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11869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385" cy="172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</w:tcPr>
          <w:p w:rsidR="00AD67F1" w:rsidRPr="00110AF4" w:rsidRDefault="00AD67F1" w:rsidP="00110AF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657188" wp14:editId="69C15056">
                  <wp:extent cx="1903388" cy="1684800"/>
                  <wp:effectExtent l="0" t="0" r="1905" b="0"/>
                  <wp:docPr id="2" name="圖片 2" descr="C:\Users\user\AppData\Local\Microsoft\Windows\INetCache\Content.Word\1186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INetCache\Content.Word\1186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296" r="264" b="16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352" cy="1684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7F1" w:rsidRPr="008175A2" w:rsidTr="00AD67F1">
        <w:trPr>
          <w:trHeight w:val="226"/>
        </w:trPr>
        <w:tc>
          <w:tcPr>
            <w:tcW w:w="1526" w:type="dxa"/>
            <w:vMerge/>
          </w:tcPr>
          <w:p w:rsidR="00AD67F1" w:rsidRDefault="00AD67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2" w:type="dxa"/>
          </w:tcPr>
          <w:p w:rsidR="00AD67F1" w:rsidRPr="00110AF4" w:rsidRDefault="00AD67F1" w:rsidP="00110AF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833DC98" wp14:editId="38A27588">
                  <wp:extent cx="2318400" cy="1745214"/>
                  <wp:effectExtent l="0" t="0" r="5715" b="7620"/>
                  <wp:docPr id="3" name="圖片 3" descr="C:\Users\user\AppData\Local\Microsoft\Windows\INetCache\Content.Word\1186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user\AppData\Local\Microsoft\Windows\INetCache\Content.Word\1186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300" cy="1745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</w:tcPr>
          <w:p w:rsidR="00AD67F1" w:rsidRPr="00110AF4" w:rsidRDefault="00D11209" w:rsidP="00110AF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51200" cy="1735200"/>
                  <wp:effectExtent l="0" t="0" r="0" b="0"/>
                  <wp:docPr id="5" name="圖片 5" descr="C:\Users\user\AppData\Local\Microsoft\Windows\INetCache\Content.Word\1186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er\AppData\Local\Microsoft\Windows\INetCache\Content.Word\11869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59" t="17537" r="16977" b="14172"/>
                          <a:stretch/>
                        </pic:blipFill>
                        <pic:spPr bwMode="auto">
                          <a:xfrm>
                            <a:off x="0" y="0"/>
                            <a:ext cx="1951269" cy="173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7F1" w:rsidRPr="008175A2" w:rsidTr="00AD67F1">
        <w:trPr>
          <w:trHeight w:val="226"/>
        </w:trPr>
        <w:tc>
          <w:tcPr>
            <w:tcW w:w="1526" w:type="dxa"/>
            <w:vMerge/>
          </w:tcPr>
          <w:p w:rsidR="00AD67F1" w:rsidRDefault="00AD67F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2" w:type="dxa"/>
          </w:tcPr>
          <w:p w:rsidR="00AD67F1" w:rsidRPr="00110AF4" w:rsidRDefault="00D11209" w:rsidP="00110AF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5EF569" wp14:editId="20F98D9F">
                  <wp:extent cx="2318400" cy="1801994"/>
                  <wp:effectExtent l="0" t="0" r="5715" b="8255"/>
                  <wp:docPr id="4" name="圖片 4" descr="C:\Users\user\AppData\Local\Microsoft\Windows\INetCache\Content.Word\1186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AppData\Local\Microsoft\Windows\INetCache\Content.Word\118692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16" t="7500"/>
                          <a:stretch/>
                        </pic:blipFill>
                        <pic:spPr bwMode="auto">
                          <a:xfrm>
                            <a:off x="0" y="0"/>
                            <a:ext cx="2318613" cy="180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4" w:type="dxa"/>
          </w:tcPr>
          <w:p w:rsidR="00AD67F1" w:rsidRPr="00110AF4" w:rsidRDefault="00D11209" w:rsidP="00110AF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51200" cy="1695460"/>
                  <wp:effectExtent l="0" t="0" r="0" b="0"/>
                  <wp:docPr id="6" name="圖片 6" descr="C:\Users\user\AppData\Local\Microsoft\Windows\INetCache\Content.Word\1186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user\AppData\Local\Microsoft\Windows\INetCache\Content.Word\11869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481" t="17587" r="26491" b="28497"/>
                          <a:stretch/>
                        </pic:blipFill>
                        <pic:spPr bwMode="auto">
                          <a:xfrm>
                            <a:off x="0" y="0"/>
                            <a:ext cx="1957560" cy="1700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6C96" w:rsidRDefault="006A6C96"/>
    <w:sectPr w:rsidR="006A6C96" w:rsidSect="00096F2F">
      <w:pgSz w:w="11906" w:h="16838"/>
      <w:pgMar w:top="993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49" w:rsidRDefault="00E10D49" w:rsidP="00C2506E">
      <w:r>
        <w:separator/>
      </w:r>
    </w:p>
  </w:endnote>
  <w:endnote w:type="continuationSeparator" w:id="0">
    <w:p w:rsidR="00E10D49" w:rsidRDefault="00E10D49" w:rsidP="00C2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49" w:rsidRDefault="00E10D49" w:rsidP="00C2506E">
      <w:r>
        <w:separator/>
      </w:r>
    </w:p>
  </w:footnote>
  <w:footnote w:type="continuationSeparator" w:id="0">
    <w:p w:rsidR="00E10D49" w:rsidRDefault="00E10D49" w:rsidP="00C2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38EE"/>
    <w:multiLevelType w:val="hybridMultilevel"/>
    <w:tmpl w:val="BBF08D96"/>
    <w:lvl w:ilvl="0" w:tplc="B180F3F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6047CF"/>
    <w:multiLevelType w:val="hybridMultilevel"/>
    <w:tmpl w:val="A45615E2"/>
    <w:lvl w:ilvl="0" w:tplc="AB9890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94615B"/>
    <w:multiLevelType w:val="hybridMultilevel"/>
    <w:tmpl w:val="2F1A5E82"/>
    <w:lvl w:ilvl="0" w:tplc="5D5039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025C7C"/>
    <w:multiLevelType w:val="hybridMultilevel"/>
    <w:tmpl w:val="2F1A5E82"/>
    <w:lvl w:ilvl="0" w:tplc="5D5039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101DA6"/>
    <w:multiLevelType w:val="hybridMultilevel"/>
    <w:tmpl w:val="58A2BE24"/>
    <w:lvl w:ilvl="0" w:tplc="AB1248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3834093"/>
    <w:multiLevelType w:val="hybridMultilevel"/>
    <w:tmpl w:val="F0C2CABC"/>
    <w:lvl w:ilvl="0" w:tplc="D6B22B7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857E50"/>
    <w:multiLevelType w:val="hybridMultilevel"/>
    <w:tmpl w:val="2F1A5E82"/>
    <w:lvl w:ilvl="0" w:tplc="5D5039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85E00A4"/>
    <w:multiLevelType w:val="hybridMultilevel"/>
    <w:tmpl w:val="2F1A5E82"/>
    <w:lvl w:ilvl="0" w:tplc="5D5039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47C3E95"/>
    <w:multiLevelType w:val="hybridMultilevel"/>
    <w:tmpl w:val="DAAEE6E2"/>
    <w:lvl w:ilvl="0" w:tplc="FE1C3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C769D4"/>
    <w:multiLevelType w:val="hybridMultilevel"/>
    <w:tmpl w:val="A2D2EDA0"/>
    <w:lvl w:ilvl="0" w:tplc="0A1E636C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3E0381F"/>
    <w:multiLevelType w:val="hybridMultilevel"/>
    <w:tmpl w:val="99E8E0F0"/>
    <w:lvl w:ilvl="0" w:tplc="081EE9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4F0D68"/>
    <w:multiLevelType w:val="hybridMultilevel"/>
    <w:tmpl w:val="7F4A99DA"/>
    <w:lvl w:ilvl="0" w:tplc="23C0BE8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D2660D4"/>
    <w:multiLevelType w:val="hybridMultilevel"/>
    <w:tmpl w:val="DD941620"/>
    <w:lvl w:ilvl="0" w:tplc="938014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B5"/>
    <w:rsid w:val="0003478E"/>
    <w:rsid w:val="00096516"/>
    <w:rsid w:val="00096F2F"/>
    <w:rsid w:val="000A0A55"/>
    <w:rsid w:val="00101D6D"/>
    <w:rsid w:val="00110AF4"/>
    <w:rsid w:val="001A2008"/>
    <w:rsid w:val="001D7CA5"/>
    <w:rsid w:val="001E2AB2"/>
    <w:rsid w:val="00241228"/>
    <w:rsid w:val="002A7A0A"/>
    <w:rsid w:val="002E621A"/>
    <w:rsid w:val="004025D1"/>
    <w:rsid w:val="0045272C"/>
    <w:rsid w:val="004B0BDD"/>
    <w:rsid w:val="004C610F"/>
    <w:rsid w:val="005079BB"/>
    <w:rsid w:val="00533AC8"/>
    <w:rsid w:val="00534C35"/>
    <w:rsid w:val="00562687"/>
    <w:rsid w:val="00597C2A"/>
    <w:rsid w:val="005E39BE"/>
    <w:rsid w:val="005E688E"/>
    <w:rsid w:val="006917A9"/>
    <w:rsid w:val="006A6C96"/>
    <w:rsid w:val="006D3C80"/>
    <w:rsid w:val="006E637A"/>
    <w:rsid w:val="00761842"/>
    <w:rsid w:val="00774DEA"/>
    <w:rsid w:val="0079489F"/>
    <w:rsid w:val="008175A2"/>
    <w:rsid w:val="00880F6B"/>
    <w:rsid w:val="00887605"/>
    <w:rsid w:val="0089320E"/>
    <w:rsid w:val="008F1DA2"/>
    <w:rsid w:val="00914DE7"/>
    <w:rsid w:val="009764E7"/>
    <w:rsid w:val="00980BF8"/>
    <w:rsid w:val="009A4234"/>
    <w:rsid w:val="00A564D5"/>
    <w:rsid w:val="00A77A7C"/>
    <w:rsid w:val="00AD67F1"/>
    <w:rsid w:val="00BC44CD"/>
    <w:rsid w:val="00BD7E29"/>
    <w:rsid w:val="00C214B3"/>
    <w:rsid w:val="00C2506E"/>
    <w:rsid w:val="00C419E9"/>
    <w:rsid w:val="00C53DB5"/>
    <w:rsid w:val="00CF290F"/>
    <w:rsid w:val="00CF4D54"/>
    <w:rsid w:val="00D11209"/>
    <w:rsid w:val="00D2490D"/>
    <w:rsid w:val="00DC7187"/>
    <w:rsid w:val="00DD3353"/>
    <w:rsid w:val="00DD54BA"/>
    <w:rsid w:val="00DF2F4B"/>
    <w:rsid w:val="00E10D49"/>
    <w:rsid w:val="00E143F1"/>
    <w:rsid w:val="00EE6B16"/>
    <w:rsid w:val="00F41D6D"/>
    <w:rsid w:val="00F55441"/>
    <w:rsid w:val="00F6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50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5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506E"/>
    <w:rPr>
      <w:sz w:val="20"/>
      <w:szCs w:val="20"/>
    </w:rPr>
  </w:style>
  <w:style w:type="paragraph" w:styleId="a8">
    <w:name w:val="List Paragraph"/>
    <w:basedOn w:val="a"/>
    <w:uiPriority w:val="34"/>
    <w:qFormat/>
    <w:rsid w:val="004025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D6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D67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5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50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50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506E"/>
    <w:rPr>
      <w:sz w:val="20"/>
      <w:szCs w:val="20"/>
    </w:rPr>
  </w:style>
  <w:style w:type="paragraph" w:styleId="a8">
    <w:name w:val="List Paragraph"/>
    <w:basedOn w:val="a"/>
    <w:uiPriority w:val="34"/>
    <w:qFormat/>
    <w:rsid w:val="004025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D6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D67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2020-08-18T06:23:00Z</cp:lastPrinted>
  <dcterms:created xsi:type="dcterms:W3CDTF">2020-08-07T06:27:00Z</dcterms:created>
  <dcterms:modified xsi:type="dcterms:W3CDTF">2020-09-09T03:26:00Z</dcterms:modified>
</cp:coreProperties>
</file>