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ACD" w:rsidRDefault="00707ACD" w:rsidP="00707ACD">
      <w:pPr>
        <w:pStyle w:val="1"/>
      </w:pPr>
      <w:r>
        <w:rPr>
          <w:rFonts w:hint="eastAsia"/>
        </w:rPr>
        <w:t>目的</w:t>
      </w:r>
    </w:p>
    <w:p w:rsidR="00707ACD" w:rsidRDefault="00707ACD" w:rsidP="00707ACD">
      <w:pPr>
        <w:pStyle w:val="1"/>
        <w:numPr>
          <w:ilvl w:val="0"/>
          <w:numId w:val="0"/>
        </w:numPr>
        <w:ind w:left="1104"/>
      </w:pPr>
      <w:r w:rsidRPr="00D6401B">
        <w:rPr>
          <w:rFonts w:hint="eastAsia"/>
        </w:rPr>
        <w:t>資通安全政策</w:t>
      </w:r>
      <w:r w:rsidRPr="00D6401B">
        <w:rPr>
          <w:rFonts w:hint="eastAsia"/>
        </w:rPr>
        <w:t>(</w:t>
      </w:r>
      <w:r w:rsidRPr="00D6401B">
        <w:rPr>
          <w:rFonts w:hint="eastAsia"/>
        </w:rPr>
        <w:t>本政策</w:t>
      </w:r>
      <w:r w:rsidRPr="00D6401B">
        <w:rPr>
          <w:rFonts w:hint="eastAsia"/>
        </w:rPr>
        <w:t>)</w:t>
      </w:r>
      <w:r w:rsidRPr="00D6401B">
        <w:rPr>
          <w:rFonts w:hint="eastAsia"/>
        </w:rPr>
        <w:t>之目的強化衛生福利部雲林教養院（以下簡稱</w:t>
      </w:r>
      <w:r>
        <w:rPr>
          <w:rFonts w:hint="eastAsia"/>
        </w:rPr>
        <w:t>本院</w:t>
      </w:r>
      <w:r w:rsidRPr="00D6401B">
        <w:rPr>
          <w:rFonts w:hint="eastAsia"/>
        </w:rPr>
        <w:t>）整體資通安全，透過制度控管維持一定的資通服務水準；避免因外在威脅或內部人員不當管理與使用，</w:t>
      </w:r>
      <w:proofErr w:type="gramStart"/>
      <w:r w:rsidRPr="00D6401B">
        <w:rPr>
          <w:rFonts w:hint="eastAsia"/>
        </w:rPr>
        <w:t>致資通</w:t>
      </w:r>
      <w:proofErr w:type="gramEnd"/>
      <w:r w:rsidRPr="00D6401B">
        <w:rPr>
          <w:rFonts w:hint="eastAsia"/>
        </w:rPr>
        <w:t>資產遭受竄改、揭露、竊取、破壞或遺失等風險，</w:t>
      </w:r>
      <w:proofErr w:type="gramStart"/>
      <w:r w:rsidRPr="00D6401B">
        <w:rPr>
          <w:rFonts w:hint="eastAsia"/>
        </w:rPr>
        <w:t>將資安事故</w:t>
      </w:r>
      <w:proofErr w:type="gramEnd"/>
      <w:r w:rsidRPr="00D6401B">
        <w:rPr>
          <w:rFonts w:hint="eastAsia"/>
        </w:rPr>
        <w:t>發生機率及事故所造成之風險降至最低程度，以維</w:t>
      </w:r>
      <w:r>
        <w:rPr>
          <w:rFonts w:hint="eastAsia"/>
        </w:rPr>
        <w:t>本院</w:t>
      </w:r>
      <w:r w:rsidRPr="00D6401B">
        <w:rPr>
          <w:rFonts w:hint="eastAsia"/>
        </w:rPr>
        <w:t>各項業務正常運作以期能內化為組織文化的</w:t>
      </w:r>
      <w:proofErr w:type="gramStart"/>
      <w:r w:rsidRPr="00D6401B">
        <w:rPr>
          <w:rFonts w:hint="eastAsia"/>
        </w:rPr>
        <w:t>一</w:t>
      </w:r>
      <w:proofErr w:type="gramEnd"/>
      <w:r w:rsidRPr="00D6401B">
        <w:rPr>
          <w:rFonts w:hint="eastAsia"/>
        </w:rPr>
        <w:t>部份。</w:t>
      </w:r>
    </w:p>
    <w:p w:rsidR="00707ACD" w:rsidRDefault="00707ACD" w:rsidP="00707ACD">
      <w:pPr>
        <w:pStyle w:val="1"/>
      </w:pPr>
      <w:r>
        <w:rPr>
          <w:rFonts w:hint="eastAsia"/>
        </w:rPr>
        <w:t>依據</w:t>
      </w:r>
    </w:p>
    <w:p w:rsidR="00707ACD" w:rsidRDefault="00707ACD" w:rsidP="00707ACD">
      <w:pPr>
        <w:pStyle w:val="2"/>
        <w:rPr>
          <w:rFonts w:hint="eastAsia"/>
        </w:rPr>
      </w:pPr>
      <w:proofErr w:type="spellStart"/>
      <w:r>
        <w:rPr>
          <w:rFonts w:hint="eastAsia"/>
        </w:rPr>
        <w:t>資通安全管理法</w:t>
      </w:r>
      <w:proofErr w:type="spellEnd"/>
    </w:p>
    <w:p w:rsidR="00707ACD" w:rsidRDefault="00707ACD" w:rsidP="00707ACD">
      <w:pPr>
        <w:pStyle w:val="2"/>
        <w:rPr>
          <w:rFonts w:hint="eastAsia"/>
        </w:rPr>
      </w:pPr>
      <w:r>
        <w:rPr>
          <w:rFonts w:hint="eastAsia"/>
        </w:rPr>
        <w:t>CNS 27001:20</w:t>
      </w:r>
      <w:r>
        <w:rPr>
          <w:rFonts w:hint="eastAsia"/>
          <w:lang w:eastAsia="zh-TW"/>
        </w:rPr>
        <w:t>14</w:t>
      </w:r>
      <w:r w:rsidRPr="00A60413">
        <w:rPr>
          <w:rFonts w:hint="eastAsia"/>
        </w:rPr>
        <w:t>資訊安全、網宇安全及隱私保護－資</w:t>
      </w:r>
      <w:r>
        <w:rPr>
          <w:rFonts w:hint="eastAsia"/>
        </w:rPr>
        <w:t>通</w:t>
      </w:r>
      <w:r w:rsidRPr="00A60413">
        <w:rPr>
          <w:rFonts w:hint="eastAsia"/>
        </w:rPr>
        <w:t>安全管理系統－要求事項</w:t>
      </w:r>
    </w:p>
    <w:p w:rsidR="00707ACD" w:rsidRDefault="00707ACD" w:rsidP="00707ACD">
      <w:pPr>
        <w:pStyle w:val="2"/>
      </w:pPr>
      <w:r>
        <w:t>ISO/IEC 27001</w:t>
      </w:r>
      <w:r>
        <w:rPr>
          <w:rFonts w:hint="eastAsia"/>
          <w:lang w:eastAsia="zh-TW"/>
        </w:rPr>
        <w:t>:2013</w:t>
      </w:r>
      <w:r>
        <w:t xml:space="preserve"> (Information technology — Security techniques — Information security management systems — Requirements)</w:t>
      </w:r>
    </w:p>
    <w:p w:rsidR="00707ACD" w:rsidRPr="00707ACD" w:rsidRDefault="00707ACD" w:rsidP="00707ACD">
      <w:pPr>
        <w:pStyle w:val="1"/>
        <w:numPr>
          <w:ilvl w:val="0"/>
          <w:numId w:val="0"/>
        </w:numPr>
        <w:ind w:left="1104"/>
        <w:rPr>
          <w:rFonts w:hint="eastAsia"/>
        </w:rPr>
      </w:pPr>
    </w:p>
    <w:p w:rsidR="00707ACD" w:rsidRDefault="00707ACD" w:rsidP="00707ACD">
      <w:pPr>
        <w:pStyle w:val="1"/>
      </w:pPr>
      <w:r>
        <w:rPr>
          <w:rFonts w:hint="eastAsia"/>
        </w:rPr>
        <w:t>適用範圍</w:t>
      </w:r>
    </w:p>
    <w:p w:rsidR="00707ACD" w:rsidRDefault="00707ACD" w:rsidP="00707ACD">
      <w:pPr>
        <w:pStyle w:val="1"/>
        <w:numPr>
          <w:ilvl w:val="0"/>
          <w:numId w:val="0"/>
        </w:numPr>
        <w:ind w:left="1104"/>
        <w:rPr>
          <w:rFonts w:hint="eastAsia"/>
        </w:rPr>
      </w:pPr>
      <w:r w:rsidRPr="00707ACD">
        <w:rPr>
          <w:rFonts w:hint="eastAsia"/>
        </w:rPr>
        <w:t>本政策適用於本院各項資通資產及其資訊使用者（含本院所屬員工、各應用系統建置維護廠商及其他經授權使用資通資產之人員）。</w:t>
      </w:r>
    </w:p>
    <w:p w:rsidR="00707ACD" w:rsidRDefault="00707ACD" w:rsidP="00707ACD">
      <w:pPr>
        <w:pStyle w:val="1"/>
      </w:pPr>
      <w:r>
        <w:rPr>
          <w:rFonts w:hint="eastAsia"/>
        </w:rPr>
        <w:t>作業單位</w:t>
      </w:r>
    </w:p>
    <w:p w:rsidR="00707ACD" w:rsidRDefault="00707ACD" w:rsidP="00707ACD">
      <w:pPr>
        <w:pStyle w:val="1"/>
        <w:numPr>
          <w:ilvl w:val="0"/>
          <w:numId w:val="0"/>
        </w:numPr>
        <w:ind w:left="1104"/>
      </w:pPr>
      <w:r w:rsidRPr="00707ACD">
        <w:rPr>
          <w:rFonts w:hint="eastAsia"/>
        </w:rPr>
        <w:t>本院所屬員工、各應用系統建置維護廠商及其他經授權使用資通資產之人員</w:t>
      </w:r>
    </w:p>
    <w:p w:rsidR="00707ACD" w:rsidRDefault="00707ACD" w:rsidP="00707ACD">
      <w:pPr>
        <w:pStyle w:val="1"/>
      </w:pPr>
      <w:bookmarkStart w:id="0" w:name="_Toc128729492"/>
      <w:r>
        <w:rPr>
          <w:rFonts w:hint="eastAsia"/>
        </w:rPr>
        <w:t>處理原則</w:t>
      </w:r>
      <w:bookmarkEnd w:id="0"/>
    </w:p>
    <w:p w:rsidR="00707ACD" w:rsidRPr="00707ACD" w:rsidRDefault="00707ACD" w:rsidP="00707ACD">
      <w:pPr>
        <w:pStyle w:val="1"/>
        <w:numPr>
          <w:ilvl w:val="0"/>
          <w:numId w:val="3"/>
        </w:numPr>
        <w:rPr>
          <w:rFonts w:hint="eastAsia"/>
          <w:lang w:val="x-none"/>
        </w:rPr>
      </w:pPr>
      <w:r w:rsidRPr="00707ACD">
        <w:rPr>
          <w:rFonts w:hint="eastAsia"/>
          <w:lang w:val="x-none"/>
        </w:rPr>
        <w:t>各項安全管理規定必須遵守政府相關法令、法規</w:t>
      </w:r>
      <w:proofErr w:type="gramStart"/>
      <w:r w:rsidRPr="00707ACD">
        <w:rPr>
          <w:rFonts w:hint="eastAsia"/>
          <w:lang w:val="x-none"/>
        </w:rPr>
        <w:t>（</w:t>
      </w:r>
      <w:proofErr w:type="gramEnd"/>
      <w:r w:rsidRPr="00707ACD">
        <w:rPr>
          <w:rFonts w:hint="eastAsia"/>
          <w:lang w:val="x-none"/>
        </w:rPr>
        <w:t>如：刑法、專利法、商標法、著作權法、資通安全管理法及個人資料保護法等</w:t>
      </w:r>
      <w:proofErr w:type="gramStart"/>
      <w:r w:rsidRPr="00707ACD">
        <w:rPr>
          <w:rFonts w:hint="eastAsia"/>
          <w:lang w:val="x-none"/>
        </w:rPr>
        <w:t>）</w:t>
      </w:r>
      <w:proofErr w:type="gramEnd"/>
      <w:r w:rsidRPr="00707ACD">
        <w:rPr>
          <w:rFonts w:hint="eastAsia"/>
          <w:lang w:val="x-none"/>
        </w:rPr>
        <w:t>之規定。</w:t>
      </w:r>
    </w:p>
    <w:p w:rsidR="00707ACD" w:rsidRPr="00707ACD" w:rsidRDefault="00707ACD" w:rsidP="00707ACD">
      <w:pPr>
        <w:pStyle w:val="1"/>
        <w:numPr>
          <w:ilvl w:val="0"/>
          <w:numId w:val="3"/>
        </w:numPr>
        <w:rPr>
          <w:rFonts w:hint="eastAsia"/>
          <w:lang w:val="x-none"/>
        </w:rPr>
      </w:pPr>
      <w:r w:rsidRPr="00707ACD">
        <w:rPr>
          <w:rFonts w:hint="eastAsia"/>
          <w:lang w:val="x-none"/>
        </w:rPr>
        <w:t>依據本院組織與業務目的，審慎評估資通安全作業需求與目標，並確保本院關鍵性業務持續運作不中斷，並鑑別內部與外部的利害關係人以及參與</w:t>
      </w:r>
      <w:proofErr w:type="gramStart"/>
      <w:r w:rsidRPr="00707ACD">
        <w:rPr>
          <w:rFonts w:hint="eastAsia"/>
          <w:lang w:val="x-none"/>
        </w:rPr>
        <w:t>本院資通</w:t>
      </w:r>
      <w:proofErr w:type="gramEnd"/>
      <w:r w:rsidRPr="00707ACD">
        <w:rPr>
          <w:rFonts w:hint="eastAsia"/>
          <w:lang w:val="x-none"/>
        </w:rPr>
        <w:t>安全保護的程度，及辨識工作人員的職責及權責。</w:t>
      </w:r>
    </w:p>
    <w:p w:rsidR="00707ACD" w:rsidRPr="00707ACD" w:rsidRDefault="00707ACD" w:rsidP="00707ACD">
      <w:pPr>
        <w:pStyle w:val="1"/>
        <w:numPr>
          <w:ilvl w:val="0"/>
          <w:numId w:val="3"/>
        </w:numPr>
        <w:rPr>
          <w:rFonts w:hint="eastAsia"/>
          <w:lang w:val="x-none"/>
        </w:rPr>
      </w:pPr>
      <w:r w:rsidRPr="00707ACD">
        <w:rPr>
          <w:rFonts w:hint="eastAsia"/>
          <w:lang w:val="x-none"/>
        </w:rPr>
        <w:t>本院全景除於適用性聲明書中</w:t>
      </w:r>
      <w:proofErr w:type="gramStart"/>
      <w:r w:rsidRPr="00707ACD">
        <w:rPr>
          <w:rFonts w:hint="eastAsia"/>
          <w:lang w:val="x-none"/>
        </w:rPr>
        <w:t>述明外</w:t>
      </w:r>
      <w:proofErr w:type="gramEnd"/>
      <w:r w:rsidRPr="00707ACD">
        <w:rPr>
          <w:rFonts w:hint="eastAsia"/>
          <w:lang w:val="x-none"/>
        </w:rPr>
        <w:t>，另根據內、外部利害關係人與資通安全作業前、後環節要求，進行資產盤點、風險評估與管理，有效管理資訊資產面臨之風險，降低風險至可接受範圍。</w:t>
      </w:r>
    </w:p>
    <w:p w:rsidR="00707ACD" w:rsidRPr="00707ACD" w:rsidRDefault="00707ACD" w:rsidP="00707ACD">
      <w:pPr>
        <w:pStyle w:val="1"/>
        <w:numPr>
          <w:ilvl w:val="0"/>
          <w:numId w:val="3"/>
        </w:numPr>
        <w:rPr>
          <w:rFonts w:hint="eastAsia"/>
          <w:lang w:val="x-none"/>
        </w:rPr>
      </w:pPr>
      <w:r w:rsidRPr="00707ACD">
        <w:rPr>
          <w:rFonts w:hint="eastAsia"/>
          <w:lang w:val="x-none"/>
        </w:rPr>
        <w:t>本院高階主管應積極參與資通安全管理活動，提供對</w:t>
      </w:r>
      <w:r w:rsidRPr="00707ACD">
        <w:rPr>
          <w:rFonts w:hint="eastAsia"/>
          <w:lang w:val="x-none"/>
        </w:rPr>
        <w:lastRenderedPageBreak/>
        <w:t>資通安全之支持及承諾，並定期召開高階會議以確保資通安全維護之整體持續改善，提供全體員工資安訓練課程，提昇</w:t>
      </w:r>
      <w:proofErr w:type="gramStart"/>
      <w:r w:rsidRPr="00707ACD">
        <w:rPr>
          <w:rFonts w:hint="eastAsia"/>
          <w:lang w:val="x-none"/>
        </w:rPr>
        <w:t>人員資安認知</w:t>
      </w:r>
      <w:proofErr w:type="gramEnd"/>
      <w:r w:rsidRPr="00707ACD">
        <w:rPr>
          <w:rFonts w:hint="eastAsia"/>
          <w:lang w:val="x-none"/>
        </w:rPr>
        <w:t>，明確規範資訊系統及網路服務之使用權限，防止未經授權之存取動作。</w:t>
      </w:r>
    </w:p>
    <w:p w:rsidR="00707ACD" w:rsidRPr="00707ACD" w:rsidRDefault="00707ACD" w:rsidP="00707ACD">
      <w:pPr>
        <w:pStyle w:val="1"/>
        <w:numPr>
          <w:ilvl w:val="0"/>
          <w:numId w:val="3"/>
        </w:numPr>
        <w:rPr>
          <w:rFonts w:hint="eastAsia"/>
          <w:lang w:val="x-none"/>
        </w:rPr>
      </w:pPr>
      <w:r w:rsidRPr="00707ACD">
        <w:rPr>
          <w:rFonts w:hint="eastAsia"/>
          <w:lang w:val="x-none"/>
        </w:rPr>
        <w:t>本院全體員工</w:t>
      </w:r>
      <w:r w:rsidRPr="00707ACD">
        <w:rPr>
          <w:rFonts w:hint="eastAsia"/>
          <w:u w:val="single"/>
          <w:lang w:val="x-none"/>
        </w:rPr>
        <w:t>(</w:t>
      </w:r>
      <w:proofErr w:type="spellStart"/>
      <w:proofErr w:type="gramStart"/>
      <w:r w:rsidRPr="00707ACD">
        <w:rPr>
          <w:rFonts w:hint="eastAsia"/>
          <w:u w:val="single"/>
          <w:lang w:val="x-none"/>
        </w:rPr>
        <w:t>含約</w:t>
      </w:r>
      <w:proofErr w:type="gramEnd"/>
      <w:r w:rsidRPr="00707ACD">
        <w:rPr>
          <w:rFonts w:hint="eastAsia"/>
          <w:u w:val="single"/>
          <w:lang w:val="x-none"/>
        </w:rPr>
        <w:t>、聘僱人員及臨時人員</w:t>
      </w:r>
      <w:proofErr w:type="spellEnd"/>
      <w:r w:rsidRPr="00707ACD">
        <w:rPr>
          <w:rFonts w:hint="eastAsia"/>
          <w:u w:val="single"/>
          <w:lang w:val="x-none"/>
        </w:rPr>
        <w:t xml:space="preserve">) </w:t>
      </w:r>
      <w:r w:rsidRPr="00707ACD">
        <w:rPr>
          <w:rFonts w:hint="eastAsia"/>
          <w:lang w:val="x-none"/>
        </w:rPr>
        <w:t>皆須遵守本</w:t>
      </w:r>
      <w:proofErr w:type="gramStart"/>
      <w:r w:rsidRPr="00707ACD">
        <w:rPr>
          <w:rFonts w:hint="eastAsia"/>
          <w:lang w:val="x-none"/>
        </w:rPr>
        <w:t>院資安</w:t>
      </w:r>
      <w:proofErr w:type="gramEnd"/>
      <w:r w:rsidRPr="00707ACD">
        <w:rPr>
          <w:rFonts w:hint="eastAsia"/>
          <w:lang w:val="x-none"/>
        </w:rPr>
        <w:t>事件通報機制，通報所發現之資通安全事件或資通安全弱點，若未遵守本政策或發生任何違反本政策之行為，將依相關規定處理，各部門之資通安全專責人員負責資通安全各項事宜，對各項安全執行情況對有功人員予以獎勵。</w:t>
      </w:r>
    </w:p>
    <w:p w:rsidR="00707ACD" w:rsidRPr="00707ACD" w:rsidRDefault="00707ACD" w:rsidP="00707ACD">
      <w:pPr>
        <w:pStyle w:val="1"/>
        <w:numPr>
          <w:ilvl w:val="0"/>
          <w:numId w:val="3"/>
        </w:numPr>
        <w:rPr>
          <w:rFonts w:hint="eastAsia"/>
          <w:lang w:val="x-none"/>
        </w:rPr>
      </w:pPr>
      <w:r w:rsidRPr="00707ACD">
        <w:rPr>
          <w:rFonts w:hint="eastAsia"/>
          <w:lang w:val="x-none"/>
        </w:rPr>
        <w:t>本院所有往來</w:t>
      </w:r>
      <w:r w:rsidRPr="00707ACD">
        <w:rPr>
          <w:rFonts w:hint="eastAsia"/>
          <w:u w:val="single"/>
          <w:lang w:val="x-none"/>
        </w:rPr>
        <w:t>相關合作單位</w:t>
      </w:r>
      <w:r w:rsidRPr="00707ACD">
        <w:rPr>
          <w:rFonts w:hint="eastAsia"/>
          <w:u w:val="single"/>
          <w:lang w:val="x-none"/>
        </w:rPr>
        <w:t>(</w:t>
      </w:r>
      <w:proofErr w:type="spellStart"/>
      <w:r w:rsidRPr="00707ACD">
        <w:rPr>
          <w:rFonts w:hint="eastAsia"/>
          <w:u w:val="single"/>
          <w:lang w:val="x-none"/>
        </w:rPr>
        <w:t>含廠商</w:t>
      </w:r>
      <w:proofErr w:type="spellEnd"/>
      <w:r w:rsidRPr="00707ACD">
        <w:rPr>
          <w:rFonts w:hint="eastAsia"/>
          <w:u w:val="single"/>
          <w:lang w:val="x-none"/>
        </w:rPr>
        <w:t>)</w:t>
      </w:r>
      <w:proofErr w:type="spellStart"/>
      <w:r w:rsidRPr="00707ACD">
        <w:rPr>
          <w:rFonts w:hint="eastAsia"/>
          <w:lang w:val="x-none"/>
        </w:rPr>
        <w:t>皆須簽署保密協議書，並遵守本政策以及相關程序之規定，不得未經授權使用或濫用本院各類資訊資產</w:t>
      </w:r>
      <w:proofErr w:type="spellEnd"/>
      <w:r w:rsidRPr="00707ACD">
        <w:rPr>
          <w:rFonts w:hint="eastAsia"/>
          <w:lang w:val="x-none"/>
        </w:rPr>
        <w:t>。</w:t>
      </w:r>
    </w:p>
    <w:p w:rsidR="00707ACD" w:rsidRPr="00707ACD" w:rsidRDefault="00707ACD" w:rsidP="00707ACD">
      <w:pPr>
        <w:pStyle w:val="1"/>
        <w:numPr>
          <w:ilvl w:val="0"/>
          <w:numId w:val="3"/>
        </w:numPr>
        <w:rPr>
          <w:rFonts w:hint="eastAsia"/>
          <w:lang w:val="x-none"/>
        </w:rPr>
      </w:pPr>
      <w:r w:rsidRPr="00707ACD">
        <w:rPr>
          <w:rFonts w:hint="eastAsia"/>
          <w:lang w:val="x-none"/>
        </w:rPr>
        <w:t>定期訂定資訊內部稽核計畫，檢視</w:t>
      </w:r>
      <w:proofErr w:type="gramStart"/>
      <w:r w:rsidRPr="00707ACD">
        <w:rPr>
          <w:rFonts w:hint="eastAsia"/>
          <w:lang w:val="x-none"/>
        </w:rPr>
        <w:t>本院資通</w:t>
      </w:r>
      <w:proofErr w:type="gramEnd"/>
      <w:r w:rsidRPr="00707ACD">
        <w:rPr>
          <w:rFonts w:hint="eastAsia"/>
          <w:lang w:val="x-none"/>
        </w:rPr>
        <w:t>安全保護之情形，依稽核報告擬定及執行矯正措施。</w:t>
      </w:r>
    </w:p>
    <w:p w:rsidR="00707ACD" w:rsidRDefault="00707ACD" w:rsidP="00707ACD">
      <w:pPr>
        <w:pStyle w:val="1"/>
      </w:pPr>
      <w:bookmarkStart w:id="1" w:name="_Toc128729493"/>
      <w:r w:rsidRPr="006C62CD">
        <w:rPr>
          <w:rFonts w:hint="eastAsia"/>
        </w:rPr>
        <w:t>修訂及公告</w:t>
      </w:r>
      <w:bookmarkEnd w:id="1"/>
    </w:p>
    <w:p w:rsidR="00707ACD" w:rsidRDefault="00707ACD" w:rsidP="00707ACD">
      <w:pPr>
        <w:pStyle w:val="1"/>
        <w:numPr>
          <w:ilvl w:val="0"/>
          <w:numId w:val="0"/>
        </w:numPr>
        <w:ind w:left="1104"/>
        <w:rPr>
          <w:rFonts w:hint="eastAsia"/>
        </w:rPr>
      </w:pPr>
      <w:r w:rsidRPr="00707ACD">
        <w:rPr>
          <w:rFonts w:hint="eastAsia"/>
        </w:rPr>
        <w:t>本政策內容應定期由資通安全推行委員每年定期或因本院業務、法令或環境等因素之更迭，予以適當修訂，確保</w:t>
      </w:r>
      <w:proofErr w:type="gramStart"/>
      <w:r w:rsidRPr="00707ACD">
        <w:rPr>
          <w:rFonts w:hint="eastAsia"/>
        </w:rPr>
        <w:t>本院資通</w:t>
      </w:r>
      <w:proofErr w:type="gramEnd"/>
      <w:r w:rsidRPr="00707ACD">
        <w:rPr>
          <w:rFonts w:hint="eastAsia"/>
        </w:rPr>
        <w:t>安全實務作業的可行性及有效性。</w:t>
      </w:r>
      <w:bookmarkStart w:id="2" w:name="_GoBack"/>
      <w:bookmarkEnd w:id="2"/>
    </w:p>
    <w:p w:rsidR="00707ACD" w:rsidRDefault="00707ACD" w:rsidP="00707ACD">
      <w:pPr>
        <w:pStyle w:val="1"/>
        <w:numPr>
          <w:ilvl w:val="0"/>
          <w:numId w:val="0"/>
        </w:numPr>
        <w:ind w:left="1104"/>
        <w:rPr>
          <w:rFonts w:hint="eastAsia"/>
        </w:rPr>
      </w:pPr>
    </w:p>
    <w:p w:rsidR="00707ACD" w:rsidRPr="00453631" w:rsidRDefault="00707ACD" w:rsidP="00707ACD">
      <w:pPr>
        <w:pStyle w:val="1"/>
        <w:numPr>
          <w:ilvl w:val="0"/>
          <w:numId w:val="0"/>
        </w:numPr>
        <w:ind w:left="1104"/>
        <w:rPr>
          <w:rFonts w:hint="eastAsia"/>
        </w:rPr>
      </w:pPr>
    </w:p>
    <w:p w:rsidR="00707ACD" w:rsidRPr="00707ACD" w:rsidRDefault="00707ACD">
      <w:pPr>
        <w:rPr>
          <w:rFonts w:hint="eastAsia"/>
        </w:rPr>
      </w:pPr>
    </w:p>
    <w:sectPr w:rsidR="00707ACD" w:rsidRPr="00707A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641CE"/>
    <w:multiLevelType w:val="hybridMultilevel"/>
    <w:tmpl w:val="697C5120"/>
    <w:lvl w:ilvl="0" w:tplc="C6E00046">
      <w:start w:val="1"/>
      <w:numFmt w:val="taiwaneseCountingThousand"/>
      <w:pStyle w:val="2"/>
      <w:lvlText w:val="%1、"/>
      <w:lvlJc w:val="left"/>
      <w:pPr>
        <w:ind w:left="15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1" w15:restartNumberingAfterBreak="0">
    <w:nsid w:val="2ACB66D6"/>
    <w:multiLevelType w:val="hybridMultilevel"/>
    <w:tmpl w:val="9D1A5E20"/>
    <w:lvl w:ilvl="0" w:tplc="8C5AD2F8">
      <w:start w:val="1"/>
      <w:numFmt w:val="ideographLegalTraditional"/>
      <w:pStyle w:val="1"/>
      <w:lvlText w:val="%1、"/>
      <w:lvlJc w:val="left"/>
      <w:pPr>
        <w:ind w:left="11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CD"/>
    <w:rsid w:val="00222922"/>
    <w:rsid w:val="0070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B5869-B929-4EBC-932C-FFA93C39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aliases w:val="一、,[ 一、]"/>
    <w:basedOn w:val="a"/>
    <w:next w:val="a"/>
    <w:link w:val="20"/>
    <w:autoRedefine/>
    <w:qFormat/>
    <w:rsid w:val="00707ACD"/>
    <w:pPr>
      <w:numPr>
        <w:numId w:val="2"/>
      </w:numPr>
      <w:adjustRightInd w:val="0"/>
      <w:snapToGrid w:val="0"/>
      <w:spacing w:before="120"/>
      <w:textAlignment w:val="baseline"/>
      <w:outlineLvl w:val="1"/>
    </w:pPr>
    <w:rPr>
      <w:rFonts w:ascii="Times New Roman" w:eastAsia="標楷體" w:hAnsi="Times New Roman" w:cs="Times New Roman"/>
      <w:kern w:val="0"/>
      <w:sz w:val="28"/>
      <w:szCs w:val="20"/>
      <w:effect w:val="none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1內"/>
    <w:basedOn w:val="a"/>
    <w:autoRedefine/>
    <w:rsid w:val="00707ACD"/>
    <w:pPr>
      <w:numPr>
        <w:numId w:val="1"/>
      </w:numPr>
      <w:snapToGrid w:val="0"/>
      <w:spacing w:before="60" w:line="320" w:lineRule="atLeast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rsid w:val="00707ACD"/>
    <w:rPr>
      <w:rFonts w:ascii="Times New Roman" w:eastAsia="標楷體" w:hAnsi="Times New Roman" w:cs="Times New Roman"/>
      <w:kern w:val="0"/>
      <w:sz w:val="28"/>
      <w:szCs w:val="20"/>
      <w:effect w:val="non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1</cp:revision>
  <dcterms:created xsi:type="dcterms:W3CDTF">2023-07-04T02:12:00Z</dcterms:created>
  <dcterms:modified xsi:type="dcterms:W3CDTF">2023-07-04T02:19:00Z</dcterms:modified>
</cp:coreProperties>
</file>